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6E2B" w:rsidRDefault="00B96E2B">
      <w:pPr>
        <w:pStyle w:val="ConsPlusNormal"/>
        <w:jc w:val="right"/>
        <w:outlineLvl w:val="0"/>
      </w:pPr>
      <w:bookmarkStart w:id="0" w:name="_GoBack"/>
      <w:bookmarkEnd w:id="0"/>
      <w:r>
        <w:t>Приложение N 27</w:t>
      </w:r>
    </w:p>
    <w:p w:rsidR="00B96E2B" w:rsidRDefault="00B96E2B">
      <w:pPr>
        <w:pStyle w:val="ConsPlusNormal"/>
        <w:jc w:val="right"/>
      </w:pPr>
      <w:r>
        <w:t>к решению</w:t>
      </w:r>
    </w:p>
    <w:p w:rsidR="00B96E2B" w:rsidRDefault="00B96E2B">
      <w:pPr>
        <w:pStyle w:val="ConsPlusNormal"/>
        <w:jc w:val="right"/>
      </w:pPr>
      <w:r>
        <w:t>Думы Белоярского района</w:t>
      </w:r>
    </w:p>
    <w:p w:rsidR="00B96E2B" w:rsidRDefault="00B96E2B">
      <w:pPr>
        <w:pStyle w:val="ConsPlusNormal"/>
        <w:jc w:val="right"/>
      </w:pPr>
      <w:r>
        <w:t>от 29 ноября 2018 года N 52</w:t>
      </w:r>
    </w:p>
    <w:p w:rsidR="00B96E2B" w:rsidRDefault="00B96E2B">
      <w:pPr>
        <w:pStyle w:val="ConsPlusNormal"/>
        <w:jc w:val="both"/>
      </w:pPr>
    </w:p>
    <w:p w:rsidR="00B96E2B" w:rsidRDefault="00B96E2B">
      <w:pPr>
        <w:pStyle w:val="ConsPlusTitle"/>
        <w:jc w:val="center"/>
      </w:pPr>
      <w:r>
        <w:t>РАСПРЕДЕЛЕНИЕ</w:t>
      </w:r>
    </w:p>
    <w:p w:rsidR="00B96E2B" w:rsidRDefault="00B96E2B">
      <w:pPr>
        <w:pStyle w:val="ConsPlusTitle"/>
        <w:jc w:val="center"/>
      </w:pPr>
      <w:r>
        <w:t>ДОТАЦИЙ НА ВЫРАВНИВАНИЕ БЮДЖЕТНОЙ ОБЕСПЕЧЕННОСТИ ПОСЕЛЕНИЙ</w:t>
      </w:r>
    </w:p>
    <w:p w:rsidR="00B96E2B" w:rsidRDefault="00B96E2B">
      <w:pPr>
        <w:pStyle w:val="ConsPlusTitle"/>
        <w:jc w:val="center"/>
      </w:pPr>
      <w:r>
        <w:t>ИЗ РАЙОННОГО ФОНДА ФИНАНСОВОЙ ПОДДЕРЖКИ ПОСЕЛЕНИЙ</w:t>
      </w:r>
    </w:p>
    <w:p w:rsidR="00B96E2B" w:rsidRDefault="00B96E2B">
      <w:pPr>
        <w:pStyle w:val="ConsPlusTitle"/>
        <w:jc w:val="center"/>
      </w:pPr>
      <w:r>
        <w:t>НА 2019 ГОД</w:t>
      </w:r>
    </w:p>
    <w:p w:rsidR="00B96E2B" w:rsidRDefault="00B96E2B">
      <w:pPr>
        <w:pStyle w:val="ConsPlusNormal"/>
        <w:jc w:val="both"/>
      </w:pPr>
    </w:p>
    <w:p w:rsidR="00B96E2B" w:rsidRDefault="00B96E2B">
      <w:pPr>
        <w:pStyle w:val="ConsPlusNormal"/>
        <w:jc w:val="right"/>
      </w:pPr>
      <w:r>
        <w:t>(рублей)</w:t>
      </w:r>
    </w:p>
    <w:p w:rsidR="00B96E2B" w:rsidRDefault="00B96E2B">
      <w:pPr>
        <w:spacing w:after="1"/>
      </w:pPr>
    </w:p>
    <w:tbl>
      <w:tblPr>
        <w:tblW w:w="10206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098"/>
        <w:gridCol w:w="1701"/>
        <w:gridCol w:w="2211"/>
        <w:gridCol w:w="2098"/>
        <w:gridCol w:w="1474"/>
      </w:tblGrid>
      <w:tr w:rsidR="00B96E2B" w:rsidTr="00B96E2B">
        <w:tc>
          <w:tcPr>
            <w:tcW w:w="624" w:type="dxa"/>
            <w:vMerge w:val="restart"/>
            <w:vAlign w:val="center"/>
          </w:tcPr>
          <w:p w:rsidR="00B96E2B" w:rsidRDefault="00B96E2B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098" w:type="dxa"/>
            <w:vMerge w:val="restart"/>
            <w:vAlign w:val="center"/>
          </w:tcPr>
          <w:p w:rsidR="00B96E2B" w:rsidRDefault="00B96E2B">
            <w:pPr>
              <w:pStyle w:val="ConsPlusNormal"/>
              <w:jc w:val="center"/>
            </w:pPr>
            <w:r>
              <w:t>Наименование поселения (городского, сельского)</w:t>
            </w:r>
          </w:p>
        </w:tc>
        <w:tc>
          <w:tcPr>
            <w:tcW w:w="1701" w:type="dxa"/>
            <w:vMerge w:val="restart"/>
            <w:vAlign w:val="center"/>
          </w:tcPr>
          <w:p w:rsidR="00B96E2B" w:rsidRDefault="00B96E2B">
            <w:pPr>
              <w:pStyle w:val="ConsPlusNormal"/>
              <w:jc w:val="center"/>
            </w:pPr>
            <w:r>
              <w:t>Сумма на год</w:t>
            </w:r>
          </w:p>
        </w:tc>
        <w:tc>
          <w:tcPr>
            <w:tcW w:w="5783" w:type="dxa"/>
            <w:gridSpan w:val="3"/>
            <w:vAlign w:val="center"/>
          </w:tcPr>
          <w:p w:rsidR="00B96E2B" w:rsidRDefault="00B96E2B">
            <w:pPr>
              <w:pStyle w:val="ConsPlusNormal"/>
              <w:jc w:val="center"/>
            </w:pPr>
            <w:r>
              <w:t>в том числе</w:t>
            </w:r>
          </w:p>
        </w:tc>
      </w:tr>
      <w:tr w:rsidR="00B96E2B" w:rsidTr="00B96E2B">
        <w:tc>
          <w:tcPr>
            <w:tcW w:w="624" w:type="dxa"/>
            <w:vMerge/>
          </w:tcPr>
          <w:p w:rsidR="00B96E2B" w:rsidRDefault="00B96E2B"/>
        </w:tc>
        <w:tc>
          <w:tcPr>
            <w:tcW w:w="2098" w:type="dxa"/>
            <w:vMerge/>
          </w:tcPr>
          <w:p w:rsidR="00B96E2B" w:rsidRDefault="00B96E2B"/>
        </w:tc>
        <w:tc>
          <w:tcPr>
            <w:tcW w:w="1701" w:type="dxa"/>
            <w:vMerge/>
          </w:tcPr>
          <w:p w:rsidR="00B96E2B" w:rsidRDefault="00B96E2B"/>
        </w:tc>
        <w:tc>
          <w:tcPr>
            <w:tcW w:w="2211" w:type="dxa"/>
            <w:vAlign w:val="center"/>
          </w:tcPr>
          <w:p w:rsidR="00B96E2B" w:rsidRDefault="00B96E2B">
            <w:pPr>
              <w:pStyle w:val="ConsPlusNormal"/>
              <w:jc w:val="center"/>
            </w:pPr>
            <w:r>
              <w:t>Субвенции муниципальным районам на исполнение полномочий по расчету и предоставлению дотаций поселениям, входящим в состав муниципального района за счет средств бюджета Ханты-Мансийского автономного округа - Югры</w:t>
            </w:r>
          </w:p>
        </w:tc>
        <w:tc>
          <w:tcPr>
            <w:tcW w:w="2098" w:type="dxa"/>
            <w:vAlign w:val="center"/>
          </w:tcPr>
          <w:p w:rsidR="00B96E2B" w:rsidRDefault="00B96E2B">
            <w:pPr>
              <w:pStyle w:val="ConsPlusNormal"/>
              <w:jc w:val="center"/>
            </w:pPr>
            <w:r>
              <w:t>Субсидии местным бюджетам на формирование районных фондов финансовой поддержки поселений за счет средств бюджета Ханты-Мансийского автономного округа - Югры</w:t>
            </w:r>
          </w:p>
        </w:tc>
        <w:tc>
          <w:tcPr>
            <w:tcW w:w="1474" w:type="dxa"/>
            <w:vAlign w:val="center"/>
          </w:tcPr>
          <w:p w:rsidR="00B96E2B" w:rsidRDefault="00B96E2B">
            <w:pPr>
              <w:pStyle w:val="ConsPlusNormal"/>
              <w:jc w:val="center"/>
            </w:pPr>
            <w:r>
              <w:t>Собственные средств бюджета Белоярского района</w:t>
            </w:r>
          </w:p>
        </w:tc>
      </w:tr>
      <w:tr w:rsidR="00B96E2B" w:rsidTr="00B96E2B">
        <w:tc>
          <w:tcPr>
            <w:tcW w:w="624" w:type="dxa"/>
            <w:vAlign w:val="center"/>
          </w:tcPr>
          <w:p w:rsidR="00B96E2B" w:rsidRDefault="00B96E2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  <w:vAlign w:val="center"/>
          </w:tcPr>
          <w:p w:rsidR="00B96E2B" w:rsidRDefault="00B96E2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B96E2B" w:rsidRDefault="00B96E2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11" w:type="dxa"/>
            <w:vAlign w:val="center"/>
          </w:tcPr>
          <w:p w:rsidR="00B96E2B" w:rsidRDefault="00B96E2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098" w:type="dxa"/>
            <w:vAlign w:val="center"/>
          </w:tcPr>
          <w:p w:rsidR="00B96E2B" w:rsidRDefault="00B96E2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74" w:type="dxa"/>
            <w:vAlign w:val="center"/>
          </w:tcPr>
          <w:p w:rsidR="00B96E2B" w:rsidRDefault="00B96E2B">
            <w:pPr>
              <w:pStyle w:val="ConsPlusNormal"/>
              <w:jc w:val="center"/>
            </w:pPr>
            <w:r>
              <w:t>6</w:t>
            </w:r>
          </w:p>
        </w:tc>
      </w:tr>
      <w:tr w:rsidR="00B96E2B" w:rsidTr="00B96E2B">
        <w:tc>
          <w:tcPr>
            <w:tcW w:w="624" w:type="dxa"/>
            <w:vAlign w:val="bottom"/>
          </w:tcPr>
          <w:p w:rsidR="00B96E2B" w:rsidRDefault="00B96E2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  <w:vAlign w:val="bottom"/>
          </w:tcPr>
          <w:p w:rsidR="00B96E2B" w:rsidRDefault="00B96E2B">
            <w:pPr>
              <w:pStyle w:val="ConsPlusNormal"/>
            </w:pPr>
            <w:proofErr w:type="spellStart"/>
            <w:r>
              <w:t>Верхнеказымский</w:t>
            </w:r>
            <w:proofErr w:type="spellEnd"/>
          </w:p>
        </w:tc>
        <w:tc>
          <w:tcPr>
            <w:tcW w:w="1701" w:type="dxa"/>
            <w:vAlign w:val="center"/>
          </w:tcPr>
          <w:p w:rsidR="00B96E2B" w:rsidRDefault="00B96E2B">
            <w:pPr>
              <w:pStyle w:val="ConsPlusNormal"/>
              <w:jc w:val="center"/>
            </w:pPr>
            <w:r>
              <w:t>7974100,0</w:t>
            </w:r>
          </w:p>
        </w:tc>
        <w:tc>
          <w:tcPr>
            <w:tcW w:w="2211" w:type="dxa"/>
            <w:vAlign w:val="center"/>
          </w:tcPr>
          <w:p w:rsidR="00B96E2B" w:rsidRDefault="00B96E2B">
            <w:pPr>
              <w:pStyle w:val="ConsPlusNormal"/>
              <w:jc w:val="center"/>
            </w:pPr>
            <w:r>
              <w:t>3326500,0</w:t>
            </w:r>
          </w:p>
        </w:tc>
        <w:tc>
          <w:tcPr>
            <w:tcW w:w="2098" w:type="dxa"/>
            <w:vAlign w:val="center"/>
          </w:tcPr>
          <w:p w:rsidR="00B96E2B" w:rsidRDefault="00B96E2B">
            <w:pPr>
              <w:pStyle w:val="ConsPlusNormal"/>
              <w:jc w:val="center"/>
            </w:pPr>
            <w:r>
              <w:t>4526800,0</w:t>
            </w:r>
          </w:p>
        </w:tc>
        <w:tc>
          <w:tcPr>
            <w:tcW w:w="1474" w:type="dxa"/>
            <w:vAlign w:val="center"/>
          </w:tcPr>
          <w:p w:rsidR="00B96E2B" w:rsidRDefault="00B96E2B">
            <w:pPr>
              <w:pStyle w:val="ConsPlusNormal"/>
              <w:jc w:val="center"/>
            </w:pPr>
            <w:r>
              <w:t>120800,0</w:t>
            </w:r>
          </w:p>
        </w:tc>
      </w:tr>
      <w:tr w:rsidR="00B96E2B" w:rsidTr="00B96E2B">
        <w:tc>
          <w:tcPr>
            <w:tcW w:w="624" w:type="dxa"/>
            <w:vAlign w:val="center"/>
          </w:tcPr>
          <w:p w:rsidR="00B96E2B" w:rsidRDefault="00B96E2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98" w:type="dxa"/>
            <w:vAlign w:val="bottom"/>
          </w:tcPr>
          <w:p w:rsidR="00B96E2B" w:rsidRDefault="00B96E2B">
            <w:pPr>
              <w:pStyle w:val="ConsPlusNormal"/>
            </w:pPr>
            <w:proofErr w:type="spellStart"/>
            <w:r>
              <w:t>Казым</w:t>
            </w:r>
            <w:proofErr w:type="spellEnd"/>
          </w:p>
        </w:tc>
        <w:tc>
          <w:tcPr>
            <w:tcW w:w="1701" w:type="dxa"/>
            <w:vAlign w:val="center"/>
          </w:tcPr>
          <w:p w:rsidR="00B96E2B" w:rsidRDefault="00B96E2B">
            <w:pPr>
              <w:pStyle w:val="ConsPlusNormal"/>
              <w:jc w:val="center"/>
            </w:pPr>
            <w:r>
              <w:t>28753000,0</w:t>
            </w:r>
          </w:p>
        </w:tc>
        <w:tc>
          <w:tcPr>
            <w:tcW w:w="2211" w:type="dxa"/>
            <w:vAlign w:val="center"/>
          </w:tcPr>
          <w:p w:rsidR="00B96E2B" w:rsidRDefault="00B96E2B">
            <w:pPr>
              <w:pStyle w:val="ConsPlusNormal"/>
              <w:jc w:val="center"/>
            </w:pPr>
            <w:r>
              <w:t>2818300,0</w:t>
            </w:r>
          </w:p>
        </w:tc>
        <w:tc>
          <w:tcPr>
            <w:tcW w:w="2098" w:type="dxa"/>
            <w:vAlign w:val="center"/>
          </w:tcPr>
          <w:p w:rsidR="00B96E2B" w:rsidRDefault="00B96E2B">
            <w:pPr>
              <w:pStyle w:val="ConsPlusNormal"/>
              <w:jc w:val="center"/>
            </w:pPr>
            <w:r>
              <w:t>25260700,0</w:t>
            </w:r>
          </w:p>
        </w:tc>
        <w:tc>
          <w:tcPr>
            <w:tcW w:w="1474" w:type="dxa"/>
            <w:vAlign w:val="center"/>
          </w:tcPr>
          <w:p w:rsidR="00B96E2B" w:rsidRDefault="00B96E2B">
            <w:pPr>
              <w:pStyle w:val="ConsPlusNormal"/>
              <w:jc w:val="center"/>
            </w:pPr>
            <w:r>
              <w:t>674000,0</w:t>
            </w:r>
          </w:p>
        </w:tc>
      </w:tr>
      <w:tr w:rsidR="00B96E2B" w:rsidTr="00B96E2B">
        <w:tc>
          <w:tcPr>
            <w:tcW w:w="624" w:type="dxa"/>
            <w:vAlign w:val="center"/>
          </w:tcPr>
          <w:p w:rsidR="00B96E2B" w:rsidRDefault="00B96E2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98" w:type="dxa"/>
            <w:vAlign w:val="bottom"/>
          </w:tcPr>
          <w:p w:rsidR="00B96E2B" w:rsidRDefault="00B96E2B">
            <w:pPr>
              <w:pStyle w:val="ConsPlusNormal"/>
            </w:pPr>
            <w:proofErr w:type="spellStart"/>
            <w:r>
              <w:t>Сорум</w:t>
            </w:r>
            <w:proofErr w:type="spellEnd"/>
          </w:p>
        </w:tc>
        <w:tc>
          <w:tcPr>
            <w:tcW w:w="1701" w:type="dxa"/>
            <w:vAlign w:val="center"/>
          </w:tcPr>
          <w:p w:rsidR="00B96E2B" w:rsidRDefault="00B96E2B">
            <w:pPr>
              <w:pStyle w:val="ConsPlusNormal"/>
              <w:jc w:val="center"/>
            </w:pPr>
            <w:r>
              <w:t>8728800,0</w:t>
            </w:r>
          </w:p>
        </w:tc>
        <w:tc>
          <w:tcPr>
            <w:tcW w:w="2211" w:type="dxa"/>
            <w:vAlign w:val="center"/>
          </w:tcPr>
          <w:p w:rsidR="00B96E2B" w:rsidRDefault="00B96E2B">
            <w:pPr>
              <w:pStyle w:val="ConsPlusNormal"/>
              <w:jc w:val="center"/>
            </w:pPr>
            <w:r>
              <w:t>2841900,0</w:t>
            </w:r>
          </w:p>
        </w:tc>
        <w:tc>
          <w:tcPr>
            <w:tcW w:w="2098" w:type="dxa"/>
            <w:vAlign w:val="center"/>
          </w:tcPr>
          <w:p w:rsidR="00B96E2B" w:rsidRDefault="00B96E2B">
            <w:pPr>
              <w:pStyle w:val="ConsPlusNormal"/>
              <w:jc w:val="center"/>
            </w:pPr>
            <w:r>
              <w:t>5733900,0</w:t>
            </w:r>
          </w:p>
        </w:tc>
        <w:tc>
          <w:tcPr>
            <w:tcW w:w="1474" w:type="dxa"/>
            <w:vAlign w:val="center"/>
          </w:tcPr>
          <w:p w:rsidR="00B96E2B" w:rsidRDefault="00B96E2B">
            <w:pPr>
              <w:pStyle w:val="ConsPlusNormal"/>
              <w:jc w:val="center"/>
            </w:pPr>
            <w:r>
              <w:t>153000,0</w:t>
            </w:r>
          </w:p>
        </w:tc>
      </w:tr>
      <w:tr w:rsidR="00B96E2B" w:rsidTr="00B96E2B">
        <w:tc>
          <w:tcPr>
            <w:tcW w:w="624" w:type="dxa"/>
            <w:vAlign w:val="center"/>
          </w:tcPr>
          <w:p w:rsidR="00B96E2B" w:rsidRDefault="00B96E2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098" w:type="dxa"/>
            <w:vAlign w:val="bottom"/>
          </w:tcPr>
          <w:p w:rsidR="00B96E2B" w:rsidRDefault="00B96E2B">
            <w:pPr>
              <w:pStyle w:val="ConsPlusNormal"/>
            </w:pPr>
            <w:r>
              <w:t>Сосновка</w:t>
            </w:r>
          </w:p>
        </w:tc>
        <w:tc>
          <w:tcPr>
            <w:tcW w:w="1701" w:type="dxa"/>
            <w:vAlign w:val="center"/>
          </w:tcPr>
          <w:p w:rsidR="00B96E2B" w:rsidRDefault="00B96E2B">
            <w:pPr>
              <w:pStyle w:val="ConsPlusNormal"/>
              <w:jc w:val="center"/>
            </w:pPr>
            <w:r>
              <w:t>2661600,0</w:t>
            </w:r>
          </w:p>
        </w:tc>
        <w:tc>
          <w:tcPr>
            <w:tcW w:w="2211" w:type="dxa"/>
            <w:vAlign w:val="center"/>
          </w:tcPr>
          <w:p w:rsidR="00B96E2B" w:rsidRDefault="00B96E2B">
            <w:pPr>
              <w:pStyle w:val="ConsPlusNormal"/>
              <w:jc w:val="center"/>
            </w:pPr>
            <w:r>
              <w:t>2661600,0</w:t>
            </w:r>
          </w:p>
        </w:tc>
        <w:tc>
          <w:tcPr>
            <w:tcW w:w="2098" w:type="dxa"/>
            <w:vAlign w:val="center"/>
          </w:tcPr>
          <w:p w:rsidR="00B96E2B" w:rsidRDefault="00B96E2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B96E2B" w:rsidRDefault="00B96E2B">
            <w:pPr>
              <w:pStyle w:val="ConsPlusNormal"/>
              <w:jc w:val="center"/>
            </w:pPr>
            <w:r>
              <w:t>0,0</w:t>
            </w:r>
          </w:p>
        </w:tc>
      </w:tr>
      <w:tr w:rsidR="00B96E2B" w:rsidTr="00B96E2B">
        <w:tc>
          <w:tcPr>
            <w:tcW w:w="624" w:type="dxa"/>
            <w:vAlign w:val="center"/>
          </w:tcPr>
          <w:p w:rsidR="00B96E2B" w:rsidRDefault="00B96E2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098" w:type="dxa"/>
            <w:vAlign w:val="bottom"/>
          </w:tcPr>
          <w:p w:rsidR="00B96E2B" w:rsidRDefault="00B96E2B">
            <w:pPr>
              <w:pStyle w:val="ConsPlusNormal"/>
            </w:pPr>
            <w:proofErr w:type="spellStart"/>
            <w:r>
              <w:t>Лыхма</w:t>
            </w:r>
            <w:proofErr w:type="spellEnd"/>
          </w:p>
        </w:tc>
        <w:tc>
          <w:tcPr>
            <w:tcW w:w="1701" w:type="dxa"/>
            <w:vAlign w:val="center"/>
          </w:tcPr>
          <w:p w:rsidR="00B96E2B" w:rsidRDefault="00B96E2B">
            <w:pPr>
              <w:pStyle w:val="ConsPlusNormal"/>
              <w:jc w:val="center"/>
            </w:pPr>
            <w:r>
              <w:t>5038800,0</w:t>
            </w:r>
          </w:p>
        </w:tc>
        <w:tc>
          <w:tcPr>
            <w:tcW w:w="2211" w:type="dxa"/>
            <w:vAlign w:val="center"/>
          </w:tcPr>
          <w:p w:rsidR="00B96E2B" w:rsidRDefault="00B96E2B">
            <w:pPr>
              <w:pStyle w:val="ConsPlusNormal"/>
              <w:jc w:val="center"/>
            </w:pPr>
            <w:r>
              <w:t>2359200,0</w:t>
            </w:r>
          </w:p>
        </w:tc>
        <w:tc>
          <w:tcPr>
            <w:tcW w:w="2098" w:type="dxa"/>
            <w:vAlign w:val="center"/>
          </w:tcPr>
          <w:p w:rsidR="00B96E2B" w:rsidRDefault="00B96E2B">
            <w:pPr>
              <w:pStyle w:val="ConsPlusNormal"/>
              <w:jc w:val="center"/>
            </w:pPr>
            <w:r>
              <w:t>2610000,0</w:t>
            </w:r>
          </w:p>
        </w:tc>
        <w:tc>
          <w:tcPr>
            <w:tcW w:w="1474" w:type="dxa"/>
            <w:vAlign w:val="center"/>
          </w:tcPr>
          <w:p w:rsidR="00B96E2B" w:rsidRDefault="00B96E2B">
            <w:pPr>
              <w:pStyle w:val="ConsPlusNormal"/>
              <w:jc w:val="center"/>
            </w:pPr>
            <w:r>
              <w:t>69600,0</w:t>
            </w:r>
          </w:p>
        </w:tc>
      </w:tr>
      <w:tr w:rsidR="00B96E2B" w:rsidTr="00B96E2B">
        <w:tc>
          <w:tcPr>
            <w:tcW w:w="624" w:type="dxa"/>
            <w:vAlign w:val="center"/>
          </w:tcPr>
          <w:p w:rsidR="00B96E2B" w:rsidRDefault="00B96E2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098" w:type="dxa"/>
            <w:vAlign w:val="bottom"/>
          </w:tcPr>
          <w:p w:rsidR="00B96E2B" w:rsidRDefault="00B96E2B">
            <w:pPr>
              <w:pStyle w:val="ConsPlusNormal"/>
            </w:pPr>
            <w:r>
              <w:t>Полноват</w:t>
            </w:r>
          </w:p>
        </w:tc>
        <w:tc>
          <w:tcPr>
            <w:tcW w:w="1701" w:type="dxa"/>
            <w:vAlign w:val="center"/>
          </w:tcPr>
          <w:p w:rsidR="00B96E2B" w:rsidRDefault="00B96E2B">
            <w:pPr>
              <w:pStyle w:val="ConsPlusNormal"/>
              <w:jc w:val="center"/>
            </w:pPr>
            <w:r>
              <w:t>26709400,0</w:t>
            </w:r>
          </w:p>
        </w:tc>
        <w:tc>
          <w:tcPr>
            <w:tcW w:w="2211" w:type="dxa"/>
            <w:vAlign w:val="center"/>
          </w:tcPr>
          <w:p w:rsidR="00B96E2B" w:rsidRDefault="00B96E2B">
            <w:pPr>
              <w:pStyle w:val="ConsPlusNormal"/>
              <w:jc w:val="center"/>
            </w:pPr>
            <w:r>
              <w:t>2563200,0</w:t>
            </w:r>
          </w:p>
        </w:tc>
        <w:tc>
          <w:tcPr>
            <w:tcW w:w="2098" w:type="dxa"/>
            <w:vAlign w:val="center"/>
          </w:tcPr>
          <w:p w:rsidR="00B96E2B" w:rsidRDefault="00B96E2B">
            <w:pPr>
              <w:pStyle w:val="ConsPlusNormal"/>
              <w:jc w:val="center"/>
            </w:pPr>
            <w:r>
              <w:t>23518600,0</w:t>
            </w:r>
          </w:p>
        </w:tc>
        <w:tc>
          <w:tcPr>
            <w:tcW w:w="1474" w:type="dxa"/>
            <w:vAlign w:val="center"/>
          </w:tcPr>
          <w:p w:rsidR="00B96E2B" w:rsidRDefault="00B96E2B">
            <w:pPr>
              <w:pStyle w:val="ConsPlusNormal"/>
              <w:jc w:val="center"/>
            </w:pPr>
            <w:r>
              <w:t>627600,0</w:t>
            </w:r>
          </w:p>
        </w:tc>
      </w:tr>
      <w:tr w:rsidR="00B96E2B" w:rsidTr="00B96E2B">
        <w:tc>
          <w:tcPr>
            <w:tcW w:w="624" w:type="dxa"/>
            <w:vAlign w:val="center"/>
          </w:tcPr>
          <w:p w:rsidR="00B96E2B" w:rsidRDefault="00B96E2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098" w:type="dxa"/>
            <w:vAlign w:val="bottom"/>
          </w:tcPr>
          <w:p w:rsidR="00B96E2B" w:rsidRDefault="00B96E2B">
            <w:pPr>
              <w:pStyle w:val="ConsPlusNormal"/>
            </w:pPr>
            <w:r>
              <w:t>Белоярский</w:t>
            </w:r>
          </w:p>
        </w:tc>
        <w:tc>
          <w:tcPr>
            <w:tcW w:w="1701" w:type="dxa"/>
            <w:vAlign w:val="center"/>
          </w:tcPr>
          <w:p w:rsidR="00B96E2B" w:rsidRDefault="00B96E2B">
            <w:pPr>
              <w:pStyle w:val="ConsPlusNormal"/>
              <w:jc w:val="center"/>
            </w:pPr>
            <w:r>
              <w:t>36116400,0</w:t>
            </w:r>
          </w:p>
        </w:tc>
        <w:tc>
          <w:tcPr>
            <w:tcW w:w="2211" w:type="dxa"/>
            <w:vAlign w:val="center"/>
          </w:tcPr>
          <w:p w:rsidR="00B96E2B" w:rsidRDefault="00B96E2B">
            <w:pPr>
              <w:pStyle w:val="ConsPlusNormal"/>
              <w:jc w:val="center"/>
            </w:pPr>
            <w:r>
              <w:t>36116400,0</w:t>
            </w:r>
          </w:p>
        </w:tc>
        <w:tc>
          <w:tcPr>
            <w:tcW w:w="2098" w:type="dxa"/>
            <w:vAlign w:val="center"/>
          </w:tcPr>
          <w:p w:rsidR="00B96E2B" w:rsidRDefault="00B96E2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B96E2B" w:rsidRDefault="00B96E2B">
            <w:pPr>
              <w:pStyle w:val="ConsPlusNormal"/>
              <w:jc w:val="center"/>
            </w:pPr>
            <w:r>
              <w:t>0,0</w:t>
            </w:r>
          </w:p>
        </w:tc>
      </w:tr>
      <w:tr w:rsidR="00B96E2B" w:rsidTr="00B96E2B">
        <w:tc>
          <w:tcPr>
            <w:tcW w:w="624" w:type="dxa"/>
            <w:vAlign w:val="bottom"/>
          </w:tcPr>
          <w:p w:rsidR="00B96E2B" w:rsidRDefault="00B96E2B">
            <w:pPr>
              <w:pStyle w:val="ConsPlusNormal"/>
            </w:pPr>
          </w:p>
        </w:tc>
        <w:tc>
          <w:tcPr>
            <w:tcW w:w="2098" w:type="dxa"/>
            <w:vAlign w:val="bottom"/>
          </w:tcPr>
          <w:p w:rsidR="00B96E2B" w:rsidRDefault="00B96E2B">
            <w:pPr>
              <w:pStyle w:val="ConsPlusNormal"/>
            </w:pPr>
            <w:r>
              <w:t>Всего</w:t>
            </w:r>
          </w:p>
        </w:tc>
        <w:tc>
          <w:tcPr>
            <w:tcW w:w="1701" w:type="dxa"/>
            <w:vAlign w:val="bottom"/>
          </w:tcPr>
          <w:p w:rsidR="00B96E2B" w:rsidRDefault="00B96E2B">
            <w:pPr>
              <w:pStyle w:val="ConsPlusNormal"/>
              <w:jc w:val="center"/>
            </w:pPr>
            <w:r>
              <w:t>115982100,0</w:t>
            </w:r>
          </w:p>
        </w:tc>
        <w:tc>
          <w:tcPr>
            <w:tcW w:w="2211" w:type="dxa"/>
            <w:vAlign w:val="bottom"/>
          </w:tcPr>
          <w:p w:rsidR="00B96E2B" w:rsidRDefault="00B96E2B">
            <w:pPr>
              <w:pStyle w:val="ConsPlusNormal"/>
              <w:jc w:val="center"/>
            </w:pPr>
            <w:r>
              <w:t>52687100,0</w:t>
            </w:r>
          </w:p>
        </w:tc>
        <w:tc>
          <w:tcPr>
            <w:tcW w:w="2098" w:type="dxa"/>
            <w:vAlign w:val="bottom"/>
          </w:tcPr>
          <w:p w:rsidR="00B96E2B" w:rsidRDefault="00B96E2B">
            <w:pPr>
              <w:pStyle w:val="ConsPlusNormal"/>
              <w:jc w:val="center"/>
            </w:pPr>
            <w:r>
              <w:t>61650000,0</w:t>
            </w:r>
          </w:p>
        </w:tc>
        <w:tc>
          <w:tcPr>
            <w:tcW w:w="1474" w:type="dxa"/>
            <w:vAlign w:val="center"/>
          </w:tcPr>
          <w:p w:rsidR="00B96E2B" w:rsidRDefault="00B96E2B">
            <w:pPr>
              <w:pStyle w:val="ConsPlusNormal"/>
              <w:jc w:val="center"/>
            </w:pPr>
            <w:r>
              <w:t>1645000,0</w:t>
            </w:r>
          </w:p>
        </w:tc>
      </w:tr>
    </w:tbl>
    <w:p w:rsidR="00B96E2B" w:rsidRDefault="00B96E2B">
      <w:pPr>
        <w:pStyle w:val="ConsPlusNormal"/>
        <w:jc w:val="both"/>
      </w:pPr>
    </w:p>
    <w:p w:rsidR="00B96E2B" w:rsidRDefault="00B96E2B">
      <w:pPr>
        <w:pStyle w:val="ConsPlusNormal"/>
        <w:jc w:val="both"/>
      </w:pPr>
    </w:p>
    <w:p w:rsidR="00B96E2B" w:rsidRDefault="00B96E2B">
      <w:pPr>
        <w:pStyle w:val="ConsPlusNormal"/>
        <w:jc w:val="both"/>
      </w:pPr>
    </w:p>
    <w:p w:rsidR="00B96E2B" w:rsidRDefault="00B96E2B">
      <w:pPr>
        <w:pStyle w:val="ConsPlusNormal"/>
        <w:jc w:val="both"/>
      </w:pPr>
    </w:p>
    <w:p w:rsidR="00B96E2B" w:rsidRDefault="00B96E2B">
      <w:pPr>
        <w:pStyle w:val="ConsPlusNormal"/>
        <w:jc w:val="both"/>
      </w:pPr>
    </w:p>
    <w:p w:rsidR="00DF1DFE" w:rsidRDefault="00DF1DFE"/>
    <w:sectPr w:rsidR="00DF1DFE" w:rsidSect="00B96E2B">
      <w:pgSz w:w="11906" w:h="16838" w:code="9"/>
      <w:pgMar w:top="1418" w:right="851" w:bottom="1247" w:left="1418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E2B"/>
    <w:rsid w:val="005941D0"/>
    <w:rsid w:val="00AE048B"/>
    <w:rsid w:val="00B96E2B"/>
    <w:rsid w:val="00D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FCDFDB-A4DA-43EC-88D0-C0B0F42CD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6E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96E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2020-01-09T11:28:00Z</dcterms:created>
  <dcterms:modified xsi:type="dcterms:W3CDTF">2020-01-09T11:28:00Z</dcterms:modified>
</cp:coreProperties>
</file>